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9BF0">
      <w:pPr>
        <w:keepNext w:val="0"/>
        <w:keepLines w:val="0"/>
        <w:pageBreakBefore w:val="0"/>
        <w:widowControl w:val="0"/>
        <w:suppressLineNumbers w:val="0"/>
        <w:suppressAutoHyphens w:val="0"/>
        <w:bidi w:val="0"/>
      </w:pPr>
    </w:p>
    <w:p w14:paraId="60328382">
      <w:pPr>
        <w:pStyle w:val="2"/>
        <w:keepNext w:val="0"/>
        <w:keepLines w:val="0"/>
        <w:pageBreakBefore w:val="0"/>
        <w:widowControl/>
        <w:suppressLineNumbers w:val="0"/>
        <w:suppressAutoHyphens w:val="0"/>
        <w:bidi w:val="0"/>
      </w:pPr>
    </w:p>
    <w:p w14:paraId="643558CB"/>
    <w:p w14:paraId="2485274E">
      <w:pPr>
        <w:keepNext w:val="0"/>
        <w:keepLines w:val="0"/>
        <w:pageBreakBefore w:val="0"/>
        <w:widowControl w:val="0"/>
        <w:suppressLineNumbers w:val="0"/>
        <w:suppressAutoHyphens w:val="0"/>
        <w:bidi w:val="0"/>
      </w:pPr>
    </w:p>
    <w:p w14:paraId="3CC3AEA1">
      <w:pPr>
        <w:pStyle w:val="2"/>
        <w:keepNext w:val="0"/>
        <w:keepLines w:val="0"/>
        <w:pageBreakBefore w:val="0"/>
        <w:widowControl/>
        <w:suppressLineNumbers w:val="0"/>
        <w:suppressAutoHyphens w:val="0"/>
        <w:bidi w:val="0"/>
      </w:pPr>
    </w:p>
    <w:p w14:paraId="521AD4BF">
      <w:pPr>
        <w:keepNext w:val="0"/>
        <w:keepLines w:val="0"/>
        <w:pageBreakBefore w:val="0"/>
        <w:widowControl w:val="0"/>
        <w:suppressLineNumbers w:val="0"/>
        <w:suppressAutoHyphens w:val="0"/>
        <w:bidi w:val="0"/>
      </w:pPr>
    </w:p>
    <w:p w14:paraId="037EF0B8">
      <w:pPr>
        <w:keepNext w:val="0"/>
        <w:keepLines w:val="0"/>
        <w:pageBreakBefore w:val="0"/>
        <w:kinsoku/>
        <w:wordWrap/>
        <w:overflowPunct/>
        <w:topLinePunct w:val="0"/>
        <w:autoSpaceDE/>
        <w:autoSpaceDN/>
        <w:bidi w:val="0"/>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鸡环审〔202</w:t>
      </w:r>
      <w:r>
        <w:rPr>
          <w:rFonts w:hint="eastAsia"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eastAsia="仿宋_GB2312" w:cs="Times New Roman"/>
          <w:sz w:val="32"/>
          <w:szCs w:val="32"/>
          <w:lang w:val="en-US" w:eastAsia="zh-CN"/>
        </w:rPr>
        <w:t>1</w:t>
      </w:r>
      <w:r>
        <w:rPr>
          <w:rFonts w:ascii="Times New Roman" w:hAnsi="Times New Roman" w:eastAsia="仿宋_GB2312" w:cs="Times New Roman"/>
          <w:sz w:val="32"/>
          <w:szCs w:val="32"/>
        </w:rPr>
        <w:t>号</w:t>
      </w:r>
    </w:p>
    <w:p w14:paraId="6943B231">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Times New Roman"/>
          <w:bCs/>
          <w:sz w:val="32"/>
          <w:szCs w:val="32"/>
          <w:shd w:val="clear" w:color="auto" w:fill="auto"/>
        </w:rPr>
      </w:pPr>
    </w:p>
    <w:p w14:paraId="476A6191">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pacing w:val="-6"/>
          <w:kern w:val="2"/>
          <w:sz w:val="44"/>
          <w:szCs w:val="44"/>
          <w:shd w:val="clear" w:color="auto" w:fill="auto"/>
        </w:rPr>
      </w:pPr>
      <w:r>
        <w:rPr>
          <w:rFonts w:hint="eastAsia" w:ascii="方正小标宋简体" w:hAnsi="方正小标宋简体" w:eastAsia="方正小标宋简体" w:cs="方正小标宋简体"/>
          <w:spacing w:val="-6"/>
          <w:sz w:val="44"/>
          <w:szCs w:val="44"/>
          <w:shd w:val="clear" w:color="auto" w:fill="auto"/>
        </w:rPr>
        <w:t>关</w:t>
      </w:r>
      <w:r>
        <w:rPr>
          <w:rFonts w:hint="eastAsia" w:ascii="方正小标宋简体" w:hAnsi="方正小标宋简体" w:eastAsia="方正小标宋简体" w:cs="方正小标宋简体"/>
          <w:spacing w:val="-6"/>
          <w:kern w:val="2"/>
          <w:sz w:val="44"/>
          <w:szCs w:val="44"/>
          <w:shd w:val="clear" w:color="auto" w:fill="auto"/>
        </w:rPr>
        <w:t>于</w:t>
      </w:r>
      <w:r>
        <w:rPr>
          <w:rFonts w:hint="eastAsia" w:ascii="方正小标宋简体" w:hAnsi="方正小标宋简体" w:eastAsia="方正小标宋简体" w:cs="方正小标宋简体"/>
          <w:spacing w:val="-6"/>
          <w:kern w:val="2"/>
          <w:sz w:val="44"/>
          <w:szCs w:val="44"/>
          <w:shd w:val="clear" w:color="auto" w:fill="auto"/>
          <w:lang w:eastAsia="zh-CN"/>
        </w:rPr>
        <w:t>鸡西鸡矿医院有限公司城子河医院临时锅炉建设项目环境影响报告表</w:t>
      </w:r>
      <w:r>
        <w:rPr>
          <w:rFonts w:hint="eastAsia" w:ascii="方正小标宋简体" w:hAnsi="方正小标宋简体" w:eastAsia="方正小标宋简体" w:cs="方正小标宋简体"/>
          <w:spacing w:val="-6"/>
          <w:sz w:val="44"/>
          <w:szCs w:val="44"/>
          <w:shd w:val="clear" w:color="auto" w:fill="auto"/>
        </w:rPr>
        <w:t>的批复</w:t>
      </w:r>
    </w:p>
    <w:p w14:paraId="0B9D4BC2">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576165E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kern w:val="0"/>
          <w:sz w:val="32"/>
          <w:szCs w:val="32"/>
        </w:rPr>
      </w:pPr>
      <w:r>
        <w:rPr>
          <w:rFonts w:hint="eastAsia" w:eastAsia="仿宋_GB2312" w:cs="Times New Roman"/>
          <w:color w:val="auto"/>
          <w:sz w:val="32"/>
          <w:szCs w:val="32"/>
          <w:lang w:eastAsia="zh-CN"/>
        </w:rPr>
        <w:t xml:space="preserve"> 鸡西鸡矿医院有限公司城子河医院</w:t>
      </w:r>
      <w:r>
        <w:rPr>
          <w:rFonts w:ascii="Times New Roman" w:hAnsi="Times New Roman" w:eastAsia="仿宋_GB2312" w:cs="Times New Roman"/>
          <w:color w:val="auto"/>
          <w:kern w:val="0"/>
          <w:sz w:val="32"/>
          <w:szCs w:val="32"/>
        </w:rPr>
        <w:t>：</w:t>
      </w:r>
    </w:p>
    <w:p w14:paraId="78790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kern w:val="0"/>
          <w:sz w:val="32"/>
          <w:szCs w:val="32"/>
        </w:rPr>
      </w:pPr>
      <w:r>
        <w:rPr>
          <w:rFonts w:ascii="Times New Roman" w:hAnsi="Times New Roman" w:eastAsia="仿宋_GB2312" w:cs="Times New Roman"/>
          <w:color w:val="auto"/>
          <w:kern w:val="0"/>
          <w:sz w:val="32"/>
          <w:szCs w:val="32"/>
        </w:rPr>
        <w:t>你单位《关于申请</w:t>
      </w:r>
      <w:r>
        <w:rPr>
          <w:rFonts w:hint="eastAsia" w:ascii="Times New Roman" w:hAnsi="Times New Roman" w:eastAsia="仿宋_GB2312" w:cs="Times New Roman"/>
          <w:color w:val="auto"/>
          <w:kern w:val="0"/>
          <w:sz w:val="32"/>
          <w:szCs w:val="32"/>
        </w:rPr>
        <w:t>鸡西鸡矿医院有限公司城子河医院临时锅炉建设项目</w:t>
      </w:r>
      <w:r>
        <w:rPr>
          <w:rFonts w:ascii="Times New Roman" w:hAnsi="Times New Roman" w:eastAsia="仿宋_GB2312" w:cs="Times New Roman"/>
          <w:color w:val="auto"/>
          <w:spacing w:val="-6"/>
          <w:sz w:val="32"/>
          <w:szCs w:val="32"/>
        </w:rPr>
        <w:t>环境影响评价文件的函</w:t>
      </w:r>
      <w:r>
        <w:rPr>
          <w:rFonts w:ascii="Times New Roman" w:hAnsi="Times New Roman" w:eastAsia="仿宋_GB2312" w:cs="Times New Roman"/>
          <w:color w:val="auto"/>
          <w:kern w:val="0"/>
          <w:sz w:val="32"/>
          <w:szCs w:val="32"/>
        </w:rPr>
        <w:t>》及相关材料收悉，经研究，批复如下。</w:t>
      </w:r>
    </w:p>
    <w:p w14:paraId="49275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一、项目基本情况</w:t>
      </w:r>
    </w:p>
    <w:p w14:paraId="7083E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该项目属</w:t>
      </w:r>
      <w:r>
        <w:rPr>
          <w:rFonts w:hint="eastAsia" w:eastAsia="仿宋_GB2312" w:cs="Times New Roman"/>
          <w:color w:val="auto"/>
          <w:sz w:val="32"/>
          <w:szCs w:val="32"/>
          <w:lang w:val="en-US" w:eastAsia="zh-CN"/>
        </w:rPr>
        <w:t>扩建</w:t>
      </w:r>
      <w:r>
        <w:rPr>
          <w:rFonts w:ascii="Times New Roman" w:hAnsi="Times New Roman" w:eastAsia="仿宋_GB2312" w:cs="Times New Roman"/>
          <w:color w:val="auto"/>
          <w:sz w:val="32"/>
          <w:szCs w:val="32"/>
          <w:lang w:val="en-US" w:eastAsia="zh-CN"/>
        </w:rPr>
        <w:t>工程</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位于</w:t>
      </w:r>
      <w:r>
        <w:rPr>
          <w:rFonts w:hint="eastAsia" w:eastAsia="仿宋_GB2312" w:cs="Times New Roman"/>
          <w:color w:val="auto"/>
          <w:sz w:val="32"/>
          <w:szCs w:val="32"/>
          <w:lang w:eastAsia="zh-CN"/>
        </w:rPr>
        <w:t>鸡西鸡矿医院有限公司城子河医院院内</w:t>
      </w:r>
      <w:r>
        <w:rPr>
          <w:rFonts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利用原有锅炉房</w:t>
      </w:r>
      <w:r>
        <w:rPr>
          <w:rFonts w:ascii="Times New Roman" w:hAnsi="Times New Roman" w:eastAsia="仿宋_GB2312" w:cs="Times New Roman"/>
          <w:color w:val="auto"/>
          <w:sz w:val="32"/>
          <w:szCs w:val="32"/>
          <w:lang w:eastAsia="zh-CN"/>
        </w:rPr>
        <w:t>新建</w:t>
      </w:r>
      <w:r>
        <w:rPr>
          <w:rFonts w:hint="eastAsia" w:eastAsia="仿宋_GB2312" w:cs="Times New Roman"/>
          <w:color w:val="auto"/>
          <w:sz w:val="32"/>
          <w:szCs w:val="32"/>
          <w:lang w:val="en-US" w:eastAsia="zh-CN"/>
        </w:rPr>
        <w:t>1</w:t>
      </w:r>
      <w:r>
        <w:rPr>
          <w:rFonts w:ascii="Times New Roman" w:hAnsi="Times New Roman" w:eastAsia="仿宋_GB2312" w:cs="Times New Roman"/>
          <w:color w:val="auto"/>
          <w:sz w:val="32"/>
          <w:szCs w:val="32"/>
          <w:lang w:eastAsia="zh-CN"/>
        </w:rPr>
        <w:t>台</w:t>
      </w:r>
      <w:r>
        <w:rPr>
          <w:rFonts w:hint="eastAsia" w:eastAsia="仿宋_GB2312" w:cs="Times New Roman"/>
          <w:color w:val="auto"/>
          <w:sz w:val="32"/>
          <w:szCs w:val="32"/>
          <w:lang w:val="en-US" w:eastAsia="zh-CN"/>
        </w:rPr>
        <w:t>2.1MW生物质热水锅炉用作医院临时锅炉</w:t>
      </w:r>
      <w:r>
        <w:rPr>
          <w:rFonts w:hint="eastAsia" w:eastAsia="仿宋_GB2312" w:cs="Times New Roman"/>
          <w:color w:val="auto"/>
          <w:sz w:val="32"/>
          <w:szCs w:val="32"/>
          <w:lang w:eastAsia="zh-CN"/>
        </w:rPr>
        <w:t>，新建燃</w:t>
      </w:r>
      <w:r>
        <w:rPr>
          <w:rFonts w:ascii="Times New Roman" w:hAnsi="Times New Roman" w:eastAsia="仿宋_GB2312" w:cs="Times New Roman"/>
          <w:color w:val="auto"/>
          <w:sz w:val="32"/>
          <w:szCs w:val="32"/>
          <w:lang w:eastAsia="zh-CN"/>
        </w:rPr>
        <w:t>料库、灰渣</w:t>
      </w:r>
      <w:r>
        <w:rPr>
          <w:rFonts w:hint="eastAsia" w:eastAsia="仿宋_GB2312" w:cs="Times New Roman"/>
          <w:color w:val="auto"/>
          <w:sz w:val="32"/>
          <w:szCs w:val="32"/>
          <w:lang w:eastAsia="zh-CN"/>
        </w:rPr>
        <w:t>贮存间、危险废物贮存点</w:t>
      </w:r>
      <w:r>
        <w:rPr>
          <w:rFonts w:ascii="Times New Roman" w:hAnsi="Times New Roman" w:eastAsia="仿宋_GB2312" w:cs="Times New Roman"/>
          <w:color w:val="auto"/>
          <w:sz w:val="32"/>
          <w:szCs w:val="32"/>
          <w:lang w:eastAsia="zh-CN"/>
        </w:rPr>
        <w:t>等。项目年运行</w:t>
      </w:r>
      <w:r>
        <w:rPr>
          <w:rFonts w:hint="eastAsia" w:eastAsia="仿宋_GB2312" w:cs="Times New Roman"/>
          <w:color w:val="auto"/>
          <w:sz w:val="32"/>
          <w:szCs w:val="32"/>
          <w:lang w:val="en-US" w:eastAsia="zh-CN"/>
        </w:rPr>
        <w:t>5808</w:t>
      </w:r>
      <w:r>
        <w:rPr>
          <w:rFonts w:ascii="Times New Roman" w:hAnsi="Times New Roman" w:eastAsia="仿宋_GB2312" w:cs="Times New Roman"/>
          <w:color w:val="auto"/>
          <w:sz w:val="32"/>
          <w:szCs w:val="32"/>
          <w:lang w:eastAsia="zh-CN"/>
        </w:rPr>
        <w:t>小时。项目总投资</w:t>
      </w:r>
      <w:r>
        <w:rPr>
          <w:rFonts w:hint="eastAsia" w:eastAsia="仿宋_GB2312" w:cs="Times New Roman"/>
          <w:color w:val="auto"/>
          <w:sz w:val="32"/>
          <w:szCs w:val="32"/>
          <w:lang w:val="en-US" w:eastAsia="zh-CN"/>
        </w:rPr>
        <w:t>44.2</w:t>
      </w:r>
      <w:r>
        <w:rPr>
          <w:rFonts w:ascii="Times New Roman" w:hAnsi="Times New Roman" w:eastAsia="仿宋_GB2312" w:cs="Times New Roman"/>
          <w:color w:val="auto"/>
          <w:sz w:val="32"/>
          <w:szCs w:val="32"/>
          <w:lang w:eastAsia="zh-CN"/>
        </w:rPr>
        <w:t>万元，其中环保投资</w:t>
      </w:r>
      <w:r>
        <w:rPr>
          <w:rFonts w:hint="eastAsia" w:eastAsia="仿宋_GB2312" w:cs="Times New Roman"/>
          <w:color w:val="auto"/>
          <w:sz w:val="32"/>
          <w:szCs w:val="32"/>
          <w:lang w:val="en-US" w:eastAsia="zh-CN"/>
        </w:rPr>
        <w:t>22.1</w:t>
      </w:r>
      <w:r>
        <w:rPr>
          <w:rFonts w:ascii="Times New Roman" w:hAnsi="Times New Roman" w:eastAsia="仿宋_GB2312" w:cs="Times New Roman"/>
          <w:color w:val="auto"/>
          <w:sz w:val="32"/>
          <w:szCs w:val="32"/>
          <w:lang w:eastAsia="zh-CN"/>
        </w:rPr>
        <w:t>万元。</w:t>
      </w:r>
    </w:p>
    <w:p w14:paraId="20597B35">
      <w:pPr>
        <w:pStyle w:val="2"/>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cs="Times New Roman"/>
          <w:color w:val="auto"/>
          <w:sz w:val="32"/>
          <w:szCs w:val="32"/>
          <w:lang w:val="en-US" w:eastAsia="zh-CN"/>
        </w:rPr>
        <w:t>该项目</w:t>
      </w:r>
      <w:r>
        <w:rPr>
          <w:rFonts w:ascii="Times New Roman" w:hAnsi="Times New Roman" w:eastAsia="仿宋_GB2312" w:cs="Times New Roman"/>
          <w:color w:val="auto"/>
          <w:sz w:val="32"/>
          <w:szCs w:val="32"/>
        </w:rPr>
        <w:t>在全面落实</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0"/>
          <w:sz w:val="32"/>
          <w:szCs w:val="32"/>
        </w:rPr>
        <w:t>鸡西鸡矿医院有限公司城子河医院临时锅炉建设项目</w:t>
      </w:r>
      <w:r>
        <w:rPr>
          <w:rFonts w:hint="eastAsia" w:ascii="Times New Roman" w:hAnsi="Times New Roman" w:eastAsia="仿宋_GB2312" w:cs="Times New Roman"/>
          <w:color w:val="auto"/>
          <w:sz w:val="32"/>
          <w:szCs w:val="32"/>
          <w:lang w:eastAsia="zh-CN"/>
        </w:rPr>
        <w:t>环境影响报告表》</w:t>
      </w:r>
      <w:r>
        <w:rPr>
          <w:rFonts w:ascii="Times New Roman" w:hAnsi="Times New Roman" w:eastAsia="仿宋_GB2312" w:cs="Times New Roman"/>
          <w:sz w:val="32"/>
          <w:szCs w:val="32"/>
        </w:rPr>
        <w:t>（以下简称《报告表》）</w:t>
      </w:r>
      <w:r>
        <w:rPr>
          <w:rFonts w:hint="eastAsia" w:ascii="Times New Roman" w:hAnsi="Times New Roman" w:eastAsia="仿宋_GB2312" w:cs="Times New Roman"/>
          <w:sz w:val="32"/>
          <w:szCs w:val="32"/>
          <w:lang w:val="en-US" w:eastAsia="zh-CN"/>
        </w:rPr>
        <w:t>和本批复</w:t>
      </w:r>
      <w:r>
        <w:rPr>
          <w:rFonts w:ascii="Times New Roman" w:hAnsi="Times New Roman" w:eastAsia="仿宋_GB2312" w:cs="Times New Roman"/>
          <w:color w:val="auto"/>
          <w:sz w:val="32"/>
          <w:szCs w:val="32"/>
        </w:rPr>
        <w:t>提出的各项生态环境保护措施</w:t>
      </w:r>
      <w:r>
        <w:rPr>
          <w:rFonts w:hint="eastAsia" w:ascii="Times New Roman" w:hAnsi="Times New Roman" w:eastAsia="仿宋_GB2312" w:cs="Times New Roman"/>
          <w:color w:val="auto"/>
          <w:sz w:val="32"/>
          <w:szCs w:val="32"/>
          <w:lang w:val="en-US" w:eastAsia="zh-CN"/>
        </w:rPr>
        <w:t>后</w:t>
      </w:r>
      <w:r>
        <w:rPr>
          <w:rFonts w:ascii="Times New Roman" w:hAnsi="Times New Roman" w:eastAsia="仿宋_GB2312" w:cs="Times New Roman"/>
          <w:color w:val="auto"/>
          <w:sz w:val="32"/>
          <w:szCs w:val="32"/>
        </w:rPr>
        <w:t>，对环境的不利影响可以得到缓解和控制。我局原则同意</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报告表</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中的环境影响评价总体结论和各项生态环境保护措施。</w:t>
      </w:r>
    </w:p>
    <w:p w14:paraId="54136A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项目建设的主要生态环境影响及保护措施</w:t>
      </w:r>
    </w:p>
    <w:p w14:paraId="34936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（一）施工期环境影响及保护措施。</w:t>
      </w:r>
      <w:r>
        <w:rPr>
          <w:rFonts w:hint="eastAsia" w:ascii="Times New Roman" w:hAnsi="Times New Roman" w:eastAsia="仿宋_GB2312" w:cs="Times New Roman"/>
          <w:color w:val="auto"/>
          <w:kern w:val="0"/>
          <w:sz w:val="32"/>
          <w:szCs w:val="32"/>
          <w:lang w:val="en-US" w:eastAsia="zh-CN" w:bidi="ar-SA"/>
        </w:rPr>
        <w:t>封闭施工现场，运输车辆加盖篷布</w:t>
      </w:r>
      <w:r>
        <w:rPr>
          <w:rFonts w:hint="eastAsia" w:eastAsia="仿宋_GB2312" w:cs="Times New Roman"/>
          <w:color w:val="auto"/>
          <w:kern w:val="0"/>
          <w:sz w:val="32"/>
          <w:szCs w:val="32"/>
          <w:lang w:val="en-US" w:eastAsia="zh-CN" w:bidi="ar-SA"/>
        </w:rPr>
        <w:t>，建筑材料固定堆放并进行苫盖，</w:t>
      </w:r>
      <w:r>
        <w:rPr>
          <w:rFonts w:hint="eastAsia" w:ascii="仿宋_GB2312" w:hAnsi="方正楷体_GBK" w:eastAsia="仿宋_GB2312" w:cs="仿宋_GB2312"/>
          <w:color w:val="auto"/>
          <w:sz w:val="32"/>
          <w:szCs w:val="32"/>
          <w:lang w:eastAsia="zh-CN"/>
        </w:rPr>
        <w:t>厂</w:t>
      </w:r>
      <w:r>
        <w:rPr>
          <w:rFonts w:ascii="仿宋_GB2312" w:hAnsi="方正楷体_GBK" w:eastAsia="仿宋_GB2312" w:cs="仿宋_GB2312"/>
          <w:color w:val="auto"/>
          <w:sz w:val="32"/>
          <w:szCs w:val="32"/>
          <w:lang w:eastAsia="zh-CN"/>
        </w:rPr>
        <w:t>界</w:t>
      </w:r>
      <w:r>
        <w:rPr>
          <w:rFonts w:hint="eastAsia" w:ascii="仿宋_GB2312" w:hAnsi="方正楷体_GBK" w:eastAsia="仿宋_GB2312" w:cs="仿宋_GB2312"/>
          <w:color w:val="auto"/>
          <w:sz w:val="32"/>
          <w:szCs w:val="32"/>
          <w:lang w:eastAsia="zh-CN"/>
        </w:rPr>
        <w:t>颗粒物浓度应符合《大气污染物综合排放标准》（GB16297-1996）无组织排放要求。施工期生活污水依托医院现有公共卫生间，车辆冲洗废水经隔油沉淀池处理后回用洒水降尘，不外排。选用低噪声机械设备，采取减振、隔声等措施，合理安排施工时间，噪声应符合《建筑施工噪声排放标准》（</w:t>
      </w:r>
      <w:r>
        <w:rPr>
          <w:rFonts w:hint="eastAsia" w:ascii="仿宋_GB2312" w:hAnsi="方正楷体_GBK" w:eastAsia="仿宋_GB2312" w:cs="仿宋_GB2312"/>
          <w:color w:val="auto"/>
          <w:sz w:val="32"/>
          <w:szCs w:val="32"/>
          <w:lang w:val="en-US" w:eastAsia="zh-CN"/>
        </w:rPr>
        <w:t>GB12523-2025</w:t>
      </w:r>
      <w:r>
        <w:rPr>
          <w:rFonts w:hint="eastAsia" w:ascii="仿宋_GB2312" w:hAnsi="方正楷体_GBK" w:eastAsia="仿宋_GB2312" w:cs="仿宋_GB2312"/>
          <w:color w:val="auto"/>
          <w:sz w:val="32"/>
          <w:szCs w:val="32"/>
          <w:lang w:eastAsia="zh-CN"/>
        </w:rPr>
        <w:t>）要求。施工过程产生的建筑垃圾及施工弃土应及时清运至指定地点处置，沉淀产生的污泥及浮油交有资质单位处置，生活垃圾集中收集后由市政部门统一清运。</w:t>
      </w:r>
    </w:p>
    <w:p w14:paraId="6C064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lang w:val="en-US" w:eastAsia="zh-CN" w:bidi="ar-SA"/>
        </w:rPr>
      </w:pPr>
      <w:r>
        <w:rPr>
          <w:rFonts w:hint="eastAsia" w:ascii="方正楷体_GBK" w:hAnsi="方正楷体_GBK" w:eastAsia="方正楷体_GBK" w:cs="方正楷体_GBK"/>
          <w:color w:val="auto"/>
          <w:sz w:val="32"/>
          <w:szCs w:val="32"/>
          <w:lang w:eastAsia="zh-CN"/>
        </w:rPr>
        <w:t>（二）</w:t>
      </w:r>
      <w:r>
        <w:rPr>
          <w:rFonts w:ascii="方正楷体_GBK" w:hAnsi="方正楷体_GBK" w:eastAsia="方正楷体_GBK" w:cs="方正楷体_GBK"/>
          <w:color w:val="auto"/>
          <w:sz w:val="32"/>
          <w:szCs w:val="32"/>
          <w:lang w:eastAsia="zh-CN"/>
        </w:rPr>
        <w:t>大气环境</w:t>
      </w:r>
      <w:r>
        <w:rPr>
          <w:rFonts w:hint="eastAsia" w:ascii="方正楷体_GBK" w:hAnsi="方正楷体_GBK" w:eastAsia="方正楷体_GBK" w:cs="方正楷体_GBK"/>
          <w:color w:val="auto"/>
          <w:sz w:val="32"/>
          <w:szCs w:val="32"/>
          <w:lang w:eastAsia="zh-CN"/>
        </w:rPr>
        <w:t>影响</w:t>
      </w:r>
      <w:r>
        <w:rPr>
          <w:rFonts w:hint="eastAsia" w:ascii="方正楷体_GBK" w:hAnsi="方正楷体_GBK" w:eastAsia="方正楷体_GBK" w:cs="方正楷体_GBK"/>
          <w:color w:val="auto"/>
          <w:sz w:val="32"/>
          <w:szCs w:val="32"/>
          <w:lang w:val="en-US" w:eastAsia="zh-CN"/>
        </w:rPr>
        <w:t>及保护措施</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仿宋_GB2312" w:cs="Times New Roman"/>
          <w:color w:val="auto"/>
          <w:kern w:val="0"/>
          <w:sz w:val="32"/>
          <w:szCs w:val="32"/>
          <w:lang w:val="en-US" w:eastAsia="zh-CN" w:bidi="ar-SA"/>
        </w:rPr>
        <w:t>项目</w:t>
      </w:r>
      <w:r>
        <w:rPr>
          <w:rFonts w:ascii="Times New Roman" w:hAnsi="Times New Roman" w:eastAsia="仿宋_GB2312" w:cs="Times New Roman"/>
          <w:color w:val="auto"/>
          <w:kern w:val="0"/>
          <w:sz w:val="32"/>
          <w:szCs w:val="32"/>
          <w:lang w:val="en-US" w:eastAsia="zh-CN" w:bidi="ar-SA"/>
        </w:rPr>
        <w:t>锅炉烟气经旋风除尘</w:t>
      </w:r>
      <w:r>
        <w:rPr>
          <w:rFonts w:hint="eastAsia" w:eastAsia="仿宋_GB2312" w:cs="Times New Roman"/>
          <w:color w:val="auto"/>
          <w:kern w:val="0"/>
          <w:sz w:val="32"/>
          <w:szCs w:val="32"/>
          <w:lang w:val="en-US" w:eastAsia="zh-CN" w:bidi="ar-SA"/>
        </w:rPr>
        <w:t>器和布袋除尘器</w:t>
      </w:r>
      <w:r>
        <w:rPr>
          <w:rFonts w:ascii="Times New Roman" w:hAnsi="Times New Roman" w:eastAsia="仿宋_GB2312" w:cs="Times New Roman"/>
          <w:color w:val="auto"/>
          <w:kern w:val="0"/>
          <w:sz w:val="32"/>
          <w:szCs w:val="32"/>
          <w:lang w:val="en-US" w:eastAsia="zh-CN" w:bidi="ar-SA"/>
        </w:rPr>
        <w:t>处理后通过</w:t>
      </w:r>
      <w:r>
        <w:rPr>
          <w:rFonts w:hint="eastAsia" w:eastAsia="仿宋_GB2312" w:cs="Times New Roman"/>
          <w:color w:val="auto"/>
          <w:kern w:val="0"/>
          <w:sz w:val="32"/>
          <w:szCs w:val="32"/>
          <w:lang w:val="en-US" w:eastAsia="zh-CN" w:bidi="ar-SA"/>
        </w:rPr>
        <w:t>30</w:t>
      </w:r>
      <w:r>
        <w:rPr>
          <w:rFonts w:ascii="Times New Roman" w:hAnsi="Times New Roman" w:eastAsia="仿宋_GB2312" w:cs="Times New Roman"/>
          <w:color w:val="auto"/>
          <w:kern w:val="0"/>
          <w:sz w:val="32"/>
          <w:szCs w:val="32"/>
          <w:lang w:val="en-US" w:eastAsia="zh-CN" w:bidi="ar-SA"/>
        </w:rPr>
        <w:t>m高</w:t>
      </w:r>
      <w:r>
        <w:rPr>
          <w:rFonts w:hint="eastAsia" w:eastAsia="仿宋_GB2312" w:cs="Times New Roman"/>
          <w:color w:val="auto"/>
          <w:kern w:val="0"/>
          <w:sz w:val="32"/>
          <w:szCs w:val="32"/>
          <w:lang w:val="en-US" w:eastAsia="zh-CN" w:bidi="ar-SA"/>
        </w:rPr>
        <w:t>排气筒</w:t>
      </w:r>
      <w:r>
        <w:rPr>
          <w:rFonts w:ascii="Times New Roman" w:hAnsi="Times New Roman" w:eastAsia="仿宋_GB2312" w:cs="Times New Roman"/>
          <w:color w:val="auto"/>
          <w:kern w:val="0"/>
          <w:sz w:val="32"/>
          <w:szCs w:val="32"/>
          <w:lang w:val="en-US" w:eastAsia="zh-CN" w:bidi="ar-SA"/>
        </w:rPr>
        <w:t>排放，</w:t>
      </w:r>
      <w:r>
        <w:rPr>
          <w:rFonts w:hint="eastAsia" w:eastAsia="仿宋_GB2312" w:cs="Times New Roman"/>
          <w:color w:val="auto"/>
          <w:kern w:val="0"/>
          <w:sz w:val="32"/>
          <w:szCs w:val="32"/>
          <w:lang w:val="en-US" w:eastAsia="zh-CN" w:bidi="ar-SA"/>
        </w:rPr>
        <w:t>颗粒物、二氧化硫、氮氧化物排放浓度及林格曼黑度应符合</w:t>
      </w:r>
      <w:r>
        <w:rPr>
          <w:rFonts w:ascii="Times New Roman" w:hAnsi="Times New Roman" w:eastAsia="仿宋_GB2312" w:cs="Times New Roman"/>
          <w:color w:val="auto"/>
          <w:kern w:val="0"/>
          <w:sz w:val="32"/>
          <w:szCs w:val="32"/>
          <w:lang w:val="en-US" w:eastAsia="zh-CN" w:bidi="ar-SA"/>
        </w:rPr>
        <w:t>《锅炉大气污染物排放标准》（GB13271-2014）表2中燃煤锅炉大气污染物排放限值要求。</w:t>
      </w:r>
      <w:r>
        <w:rPr>
          <w:rFonts w:hint="eastAsia" w:eastAsia="仿宋_GB2312" w:cs="Times New Roman"/>
          <w:color w:val="auto"/>
          <w:kern w:val="0"/>
          <w:sz w:val="32"/>
          <w:szCs w:val="32"/>
          <w:lang w:val="en-US" w:eastAsia="zh-CN" w:bidi="ar-SA"/>
        </w:rPr>
        <w:t>燃料库、灰渣间密闭，定期洒水降尘，</w:t>
      </w:r>
      <w:r>
        <w:rPr>
          <w:rFonts w:ascii="Times New Roman" w:hAnsi="Times New Roman" w:eastAsia="仿宋_GB2312" w:cs="Times New Roman"/>
          <w:color w:val="auto"/>
          <w:kern w:val="0"/>
          <w:sz w:val="32"/>
          <w:szCs w:val="32"/>
          <w:lang w:val="en-US" w:eastAsia="zh-CN" w:bidi="ar-SA"/>
        </w:rPr>
        <w:t>厂界颗粒物排放浓度应符合《大气污染物综合排放标准》（GB16297-1996）表2中无组织排放监控浓度限值要求。</w:t>
      </w:r>
    </w:p>
    <w:p w14:paraId="29EC6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ascii="方正楷体_GBK" w:hAnsi="方正楷体_GBK" w:eastAsia="方正楷体_GBK" w:cs="方正楷体_GBK"/>
          <w:sz w:val="32"/>
          <w:szCs w:val="32"/>
        </w:rPr>
        <w:t>）水环境影响及保护措施。</w:t>
      </w:r>
      <w:r>
        <w:rPr>
          <w:rFonts w:hint="eastAsia" w:ascii="Times New Roman" w:hAnsi="Times New Roman" w:eastAsia="仿宋_GB2312" w:cs="Times New Roman"/>
          <w:color w:val="auto"/>
          <w:kern w:val="0"/>
          <w:sz w:val="32"/>
          <w:szCs w:val="32"/>
          <w:lang w:val="en-US" w:eastAsia="zh-CN" w:bidi="ar-SA"/>
        </w:rPr>
        <w:t>锅炉排污水和软水制备废水少量收集后用于灰渣加湿，其余锅炉污水经市政管网进入城子河污水处理厂进行处理。污水排放浓度应符合《医疗机构水污染物排放标准》（GB18466-2005）及城子河区污水处理厂进水水质指标（SS≤210mg/L、COD≤345mg/L、BOD5≤210mg/L、氨氮≤30mg/L）。</w:t>
      </w:r>
    </w:p>
    <w:p w14:paraId="7BEDA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kern w:val="0"/>
          <w:sz w:val="32"/>
          <w:szCs w:val="32"/>
        </w:rPr>
      </w:pPr>
      <w:r>
        <w:rPr>
          <w:rFonts w:ascii="Times New Roman" w:hAnsi="Times New Roman" w:eastAsia="仿宋_GB2312" w:cs="Times New Roman"/>
          <w:color w:val="auto"/>
          <w:kern w:val="0"/>
          <w:sz w:val="32"/>
          <w:szCs w:val="32"/>
          <w:lang w:val="en-US" w:eastAsia="zh-CN" w:bidi="ar-SA"/>
        </w:rPr>
        <w:t>项目应严格落实地下水保护措施，</w:t>
      </w:r>
      <w:r>
        <w:rPr>
          <w:rFonts w:hint="eastAsia" w:ascii="Times New Roman" w:hAnsi="Times New Roman" w:eastAsia="仿宋_GB2312" w:cs="Times New Roman"/>
          <w:color w:val="auto"/>
          <w:kern w:val="0"/>
          <w:sz w:val="32"/>
          <w:szCs w:val="32"/>
          <w:lang w:val="en-US" w:eastAsia="zh-CN" w:bidi="ar-SA"/>
        </w:rPr>
        <w:t>危险废物贮存库采取重点防渗措施，地面和裙脚采用高密度聚乙烯膜（HDPE）进行基础防渗措施，防渗技术要求达到等效粘土防渗层Mb≥2.0mm，K≤1×10</w:t>
      </w:r>
      <w:r>
        <w:rPr>
          <w:rFonts w:hint="eastAsia" w:ascii="Times New Roman" w:hAnsi="Times New Roman" w:eastAsia="仿宋_GB2312" w:cs="Times New Roman"/>
          <w:color w:val="auto"/>
          <w:kern w:val="0"/>
          <w:sz w:val="32"/>
          <w:szCs w:val="32"/>
          <w:vertAlign w:val="superscript"/>
          <w:lang w:val="en-US" w:eastAsia="zh-CN" w:bidi="ar-SA"/>
        </w:rPr>
        <w:t>-10</w:t>
      </w:r>
      <w:r>
        <w:rPr>
          <w:rFonts w:hint="eastAsia" w:ascii="Times New Roman" w:hAnsi="Times New Roman" w:eastAsia="仿宋_GB2312" w:cs="Times New Roman"/>
          <w:color w:val="auto"/>
          <w:kern w:val="0"/>
          <w:sz w:val="32"/>
          <w:szCs w:val="32"/>
          <w:lang w:val="en-US" w:eastAsia="zh-CN" w:bidi="ar-SA"/>
        </w:rPr>
        <w:t>cm/s</w:t>
      </w:r>
      <w:r>
        <w:rPr>
          <w:rFonts w:hint="eastAsia" w:eastAsia="仿宋_GB2312" w:cs="Times New Roman"/>
          <w:color w:val="auto"/>
          <w:kern w:val="0"/>
          <w:sz w:val="32"/>
          <w:szCs w:val="32"/>
          <w:lang w:val="en-US" w:eastAsia="zh-CN" w:bidi="ar-SA"/>
        </w:rPr>
        <w:t>。</w:t>
      </w:r>
    </w:p>
    <w:p w14:paraId="7850D7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rPr>
        <w:t>（四）声环境影响及保护措施</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bidi="ar-SA"/>
        </w:rPr>
        <w:t>项目应选用低噪声设备，</w:t>
      </w:r>
      <w:r>
        <w:rPr>
          <w:rFonts w:ascii="Times New Roman" w:hAnsi="Times New Roman" w:eastAsia="仿宋_GB2312" w:cs="Times New Roman"/>
          <w:color w:val="auto"/>
          <w:kern w:val="0"/>
          <w:sz w:val="32"/>
          <w:szCs w:val="32"/>
          <w:lang w:val="en-US" w:eastAsia="zh-CN" w:bidi="ar-SA"/>
        </w:rPr>
        <w:t>采取厂房</w:t>
      </w:r>
      <w:r>
        <w:rPr>
          <w:rFonts w:hint="eastAsia" w:ascii="Times New Roman" w:hAnsi="Times New Roman" w:eastAsia="仿宋_GB2312" w:cs="Times New Roman"/>
          <w:color w:val="auto"/>
          <w:kern w:val="0"/>
          <w:sz w:val="32"/>
          <w:szCs w:val="32"/>
          <w:lang w:val="en-US" w:eastAsia="zh-CN" w:bidi="ar-SA"/>
        </w:rPr>
        <w:t>隔声</w:t>
      </w:r>
      <w:r>
        <w:rPr>
          <w:rFonts w:ascii="Times New Roman" w:hAnsi="Times New Roman" w:eastAsia="仿宋_GB2312" w:cs="Times New Roman"/>
          <w:color w:val="auto"/>
          <w:kern w:val="0"/>
          <w:sz w:val="32"/>
          <w:szCs w:val="32"/>
          <w:lang w:val="en-US" w:eastAsia="zh-CN" w:bidi="ar-SA"/>
        </w:rPr>
        <w:t>和基础减振等措施，厂界</w:t>
      </w:r>
      <w:r>
        <w:rPr>
          <w:rFonts w:hint="eastAsia" w:ascii="Times New Roman" w:hAnsi="Times New Roman" w:eastAsia="仿宋_GB2312" w:cs="Times New Roman"/>
          <w:color w:val="auto"/>
          <w:kern w:val="0"/>
          <w:sz w:val="32"/>
          <w:szCs w:val="32"/>
          <w:lang w:val="en-US" w:eastAsia="zh-CN" w:bidi="ar-SA"/>
        </w:rPr>
        <w:t>噪声</w:t>
      </w:r>
      <w:r>
        <w:rPr>
          <w:rFonts w:ascii="Times New Roman" w:hAnsi="Times New Roman" w:eastAsia="仿宋_GB2312" w:cs="Times New Roman"/>
          <w:color w:val="auto"/>
          <w:kern w:val="0"/>
          <w:sz w:val="32"/>
          <w:szCs w:val="32"/>
          <w:lang w:val="en-US" w:eastAsia="zh-CN" w:bidi="ar-SA"/>
        </w:rPr>
        <w:t>应符合</w:t>
      </w:r>
      <w:r>
        <w:rPr>
          <w:rFonts w:hint="eastAsia" w:ascii="Times New Roman" w:hAnsi="Times New Roman" w:eastAsia="仿宋_GB2312" w:cs="Times New Roman"/>
          <w:color w:val="auto"/>
          <w:kern w:val="0"/>
          <w:sz w:val="32"/>
          <w:szCs w:val="32"/>
          <w:lang w:val="en-US" w:eastAsia="zh-CN" w:bidi="ar-SA"/>
        </w:rPr>
        <w:t>《工业企业厂界环境噪声排放标准》（GB12348-2008）中</w:t>
      </w:r>
      <w:r>
        <w:rPr>
          <w:rFonts w:hint="eastAsia" w:eastAsia="仿宋_GB2312" w:cs="Times New Roman"/>
          <w:color w:val="auto"/>
          <w:kern w:val="0"/>
          <w:sz w:val="32"/>
          <w:szCs w:val="32"/>
          <w:lang w:val="en-US" w:eastAsia="zh-CN" w:bidi="ar-SA"/>
        </w:rPr>
        <w:t>2</w:t>
      </w:r>
      <w:r>
        <w:rPr>
          <w:rFonts w:hint="eastAsia" w:ascii="Times New Roman" w:hAnsi="Times New Roman" w:eastAsia="仿宋_GB2312" w:cs="Times New Roman"/>
          <w:color w:val="auto"/>
          <w:kern w:val="0"/>
          <w:sz w:val="32"/>
          <w:szCs w:val="32"/>
          <w:lang w:val="en-US" w:eastAsia="zh-CN" w:bidi="ar-SA"/>
        </w:rPr>
        <w:t>类标准</w:t>
      </w:r>
      <w:r>
        <w:rPr>
          <w:rFonts w:ascii="Times New Roman" w:hAnsi="Times New Roman" w:eastAsia="仿宋_GB2312" w:cs="Times New Roman"/>
          <w:color w:val="auto"/>
          <w:kern w:val="0"/>
          <w:sz w:val="32"/>
          <w:szCs w:val="32"/>
          <w:lang w:val="en-US" w:eastAsia="zh-CN" w:bidi="ar-SA"/>
        </w:rPr>
        <w:t>限值要求</w:t>
      </w:r>
      <w:r>
        <w:rPr>
          <w:rFonts w:hint="eastAsia" w:eastAsia="仿宋_GB2312" w:cs="Times New Roman"/>
          <w:color w:val="auto"/>
          <w:kern w:val="0"/>
          <w:sz w:val="32"/>
          <w:szCs w:val="32"/>
          <w:lang w:val="en-US" w:eastAsia="zh-CN" w:bidi="ar-SA"/>
        </w:rPr>
        <w:t>，周围敏感点噪声应符合《声环境质量标准》（GB3096-2008）2类标准限值要求</w:t>
      </w:r>
      <w:r>
        <w:rPr>
          <w:rFonts w:ascii="Times New Roman" w:hAnsi="Times New Roman" w:eastAsia="仿宋_GB2312" w:cs="Times New Roman"/>
          <w:color w:val="auto"/>
          <w:kern w:val="0"/>
          <w:sz w:val="32"/>
          <w:szCs w:val="32"/>
          <w:lang w:val="en-US" w:eastAsia="zh-CN" w:bidi="ar-SA"/>
        </w:rPr>
        <w:t>。</w:t>
      </w:r>
    </w:p>
    <w:p w14:paraId="6FF85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方正楷体_GBK"/>
          <w:color w:val="auto"/>
          <w:sz w:val="32"/>
          <w:szCs w:val="32"/>
          <w:lang w:eastAsia="zh-CN"/>
        </w:rPr>
      </w:pPr>
      <w:r>
        <w:rPr>
          <w:rFonts w:hint="eastAsia" w:ascii="方正楷体_GBK" w:hAnsi="方正楷体_GBK" w:eastAsia="方正楷体_GBK" w:cs="方正楷体_GBK"/>
          <w:color w:val="auto"/>
          <w:kern w:val="0"/>
          <w:sz w:val="32"/>
          <w:szCs w:val="32"/>
          <w:lang w:val="en-US" w:eastAsia="zh-CN"/>
        </w:rPr>
        <w:t>（五）</w:t>
      </w:r>
      <w:r>
        <w:rPr>
          <w:rFonts w:hint="eastAsia" w:eastAsia="方正楷体_GBK" w:cs="方正楷体_GBK"/>
          <w:color w:val="auto"/>
          <w:kern w:val="0"/>
          <w:sz w:val="32"/>
          <w:szCs w:val="32"/>
          <w:lang w:val="en-US" w:eastAsia="zh-CN"/>
        </w:rPr>
        <w:t>固体废物环境影响及保护措施</w:t>
      </w:r>
      <w:r>
        <w:rPr>
          <w:rFonts w:hint="eastAsia" w:eastAsia="方正楷体_GBK" w:cs="方正楷体_GBK"/>
          <w:color w:val="auto"/>
          <w:sz w:val="32"/>
          <w:szCs w:val="32"/>
        </w:rPr>
        <w:t>。</w:t>
      </w:r>
      <w:r>
        <w:rPr>
          <w:rFonts w:hint="eastAsia" w:ascii="仿宋_GB2312" w:hAnsi="Times New Roman" w:eastAsia="仿宋_GB2312" w:cs="仿宋_GB2312"/>
          <w:color w:val="auto"/>
          <w:sz w:val="32"/>
          <w:szCs w:val="32"/>
          <w:lang w:eastAsia="zh-CN"/>
        </w:rPr>
        <w:t>锅炉灰和炉渣、暂存于灰渣贮存间，定期外售综合利用；废布袋集中收集暂存锅炉房，定期由厂家回收处理；废离子交换树脂由厂家回收处理，不在厂区贮存；除尘器收尘</w:t>
      </w:r>
      <w:r>
        <w:rPr>
          <w:rFonts w:hint="eastAsia" w:ascii="仿宋_GB2312" w:eastAsia="仿宋_GB2312" w:cs="仿宋_GB2312"/>
          <w:color w:val="auto"/>
          <w:sz w:val="32"/>
          <w:szCs w:val="32"/>
          <w:lang w:eastAsia="zh-CN"/>
        </w:rPr>
        <w:t>暂存于燃料库，定期外售综合利用；</w:t>
      </w:r>
      <w:r>
        <w:rPr>
          <w:rFonts w:hint="eastAsia" w:ascii="仿宋_GB2312" w:hAnsi="Times New Roman" w:eastAsia="仿宋_GB2312" w:cs="仿宋_GB2312"/>
          <w:color w:val="auto"/>
          <w:sz w:val="32"/>
          <w:szCs w:val="32"/>
          <w:lang w:eastAsia="zh-CN"/>
        </w:rPr>
        <w:t>锅炉维修产生的废机油、废机油桶、含油抹布及手套暂存于危险废物贮存点，定期交有资质单位处置。一般工业固体废物处置应符合《一般工业固体废物贮存和填埋污染控制标准》（GB18599-2020），危险固体废物处置应符合《危险废物贮存污染控制标准》（GB18597-2023）。</w:t>
      </w:r>
    </w:p>
    <w:p w14:paraId="48A1A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）环境风险及保护措施。</w:t>
      </w:r>
      <w:r>
        <w:rPr>
          <w:rFonts w:hint="eastAsia" w:ascii="Times New Roman" w:hAnsi="Times New Roman" w:eastAsia="仿宋_GB2312" w:cs="Times New Roman"/>
          <w:color w:val="auto"/>
          <w:kern w:val="0"/>
          <w:sz w:val="32"/>
          <w:szCs w:val="32"/>
          <w:lang w:val="en-US" w:eastAsia="zh-CN" w:bidi="ar-SA"/>
        </w:rPr>
        <w:t>项目应严格落实《报告</w:t>
      </w:r>
      <w:r>
        <w:rPr>
          <w:rFonts w:ascii="Times New Roman" w:hAnsi="Times New Roman" w:eastAsia="仿宋_GB2312" w:cs="Times New Roman"/>
          <w:color w:val="auto"/>
          <w:kern w:val="0"/>
          <w:sz w:val="32"/>
          <w:szCs w:val="32"/>
          <w:lang w:val="en-US" w:eastAsia="zh-CN" w:bidi="ar-SA"/>
        </w:rPr>
        <w:t>表</w:t>
      </w:r>
      <w:r>
        <w:rPr>
          <w:rFonts w:hint="eastAsia" w:ascii="Times New Roman" w:hAnsi="Times New Roman" w:eastAsia="仿宋_GB2312" w:cs="Times New Roman"/>
          <w:color w:val="auto"/>
          <w:kern w:val="0"/>
          <w:sz w:val="32"/>
          <w:szCs w:val="32"/>
          <w:lang w:val="en-US" w:eastAsia="zh-CN" w:bidi="ar-SA"/>
        </w:rPr>
        <w:t>》中提出的风险防范措施，编制环境风险应急预案，加强风险点位预警、预防，防止风险事故发生。</w:t>
      </w:r>
    </w:p>
    <w:p w14:paraId="3CD41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三、你单位应建立企业内部生态环境管理机构和制度，明确人员和职责，加强生态环境管理。项目实施必须严格执行环境保护设施与主体工程同时设计、同时施工、同时投产使用的环境保护“三同时”制度。</w:t>
      </w:r>
      <w:r>
        <w:rPr>
          <w:rFonts w:ascii="仿宋_GB2312" w:hAnsi="仿宋_GB2312" w:eastAsia="仿宋_GB2312" w:cs="仿宋_GB2312"/>
          <w:color w:val="auto"/>
          <w:sz w:val="32"/>
          <w:szCs w:val="32"/>
        </w:rPr>
        <w:t>在启动生产设施或者在实际排污之前，建设单位应依法履行排污许可手续。</w:t>
      </w:r>
      <w:r>
        <w:rPr>
          <w:rFonts w:hint="eastAsia" w:ascii="仿宋_GB2312" w:hAnsi="仿宋_GB2312" w:eastAsia="仿宋_GB2312" w:cs="仿宋_GB2312"/>
          <w:color w:val="auto"/>
          <w:sz w:val="32"/>
          <w:szCs w:val="32"/>
        </w:rPr>
        <w:t>项目建成后，应按规定程序实施竣工环境保护验收</w:t>
      </w:r>
      <w:r>
        <w:rPr>
          <w:rFonts w:ascii="仿宋_GB2312" w:hAnsi="仿宋_GB2312" w:eastAsia="仿宋_GB2312" w:cs="仿宋_GB2312"/>
          <w:color w:val="auto"/>
          <w:sz w:val="32"/>
          <w:szCs w:val="32"/>
          <w:lang w:eastAsia="zh-CN"/>
        </w:rPr>
        <w:t>。</w:t>
      </w:r>
    </w:p>
    <w:p w14:paraId="6C3203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lang w:eastAsia="zh-CN"/>
        </w:rPr>
      </w:pPr>
      <w:r>
        <w:rPr>
          <w:rFonts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sz w:val="32"/>
          <w:szCs w:val="32"/>
        </w:rPr>
        <w:t>报告表》经批准后，项目的性质、规模、地点或者污染</w:t>
      </w:r>
      <w:r>
        <w:rPr>
          <w:rFonts w:hint="eastAsia" w:eastAsia="仿宋_GB2312" w:cs="Times New Roman"/>
          <w:sz w:val="32"/>
          <w:szCs w:val="32"/>
          <w:lang w:eastAsia="zh-CN"/>
        </w:rPr>
        <w:t>防治</w:t>
      </w:r>
      <w:r>
        <w:rPr>
          <w:rFonts w:ascii="Times New Roman" w:hAnsi="Times New Roman" w:eastAsia="仿宋_GB2312" w:cs="Times New Roman"/>
          <w:sz w:val="32"/>
          <w:szCs w:val="32"/>
        </w:rPr>
        <w:t>措施发生重大变动的，应当重新报批该项目的《报告表》。自《报告表》批复文件批准之日起，如超过5年方决定开工建设的，《报告表》应当重新审核。</w:t>
      </w:r>
    </w:p>
    <w:p w14:paraId="6E1C0D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cs="Times New Roman"/>
          <w:color w:val="auto"/>
          <w:sz w:val="32"/>
          <w:szCs w:val="32"/>
          <w:lang w:val="en-US" w:eastAsia="zh-CN"/>
        </w:rPr>
        <w:t>五</w:t>
      </w:r>
      <w:r>
        <w:rPr>
          <w:rFonts w:ascii="Times New Roman" w:hAnsi="Times New Roman" w:eastAsia="仿宋_GB2312" w:cs="Times New Roman"/>
          <w:color w:val="auto"/>
          <w:sz w:val="32"/>
          <w:szCs w:val="32"/>
          <w:lang w:eastAsia="zh-CN"/>
        </w:rPr>
        <w:t>、鸡西市</w:t>
      </w:r>
      <w:r>
        <w:rPr>
          <w:rFonts w:hint="eastAsia" w:eastAsia="仿宋_GB2312" w:cs="Times New Roman"/>
          <w:color w:val="auto"/>
          <w:sz w:val="32"/>
          <w:szCs w:val="32"/>
          <w:lang w:val="en-US" w:eastAsia="zh-CN"/>
        </w:rPr>
        <w:t>城子河</w:t>
      </w:r>
      <w:r>
        <w:rPr>
          <w:rFonts w:ascii="Times New Roman" w:hAnsi="Times New Roman" w:eastAsia="仿宋_GB2312" w:cs="Times New Roman"/>
          <w:color w:val="auto"/>
          <w:sz w:val="32"/>
          <w:szCs w:val="32"/>
          <w:lang w:eastAsia="zh-CN"/>
        </w:rPr>
        <w:t>生态环境局组织开展该项目环境保护事中事后监管工作。你单位应在收到本批复后10日内，将批准后的</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报告</w:t>
      </w:r>
      <w:r>
        <w:rPr>
          <w:rFonts w:eastAsia="仿宋_GB2312" w:cs="Times New Roman"/>
          <w:color w:val="auto"/>
          <w:sz w:val="32"/>
          <w:szCs w:val="32"/>
          <w:lang w:val="en-US" w:eastAsia="zh-CN"/>
        </w:rPr>
        <w:t>表</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和批复文件送至鸡西市</w:t>
      </w:r>
      <w:r>
        <w:rPr>
          <w:rFonts w:hint="eastAsia" w:eastAsia="仿宋_GB2312" w:cs="Times New Roman"/>
          <w:color w:val="auto"/>
          <w:sz w:val="32"/>
          <w:szCs w:val="32"/>
          <w:lang w:val="en-US" w:eastAsia="zh-CN"/>
        </w:rPr>
        <w:t>城子河</w:t>
      </w:r>
      <w:r>
        <w:rPr>
          <w:rFonts w:ascii="Times New Roman" w:hAnsi="Times New Roman" w:eastAsia="仿宋_GB2312" w:cs="Times New Roman"/>
          <w:color w:val="auto"/>
          <w:sz w:val="32"/>
          <w:szCs w:val="32"/>
          <w:lang w:eastAsia="zh-CN"/>
        </w:rPr>
        <w:t>生态环境局，并按规定接受各级生态环境主管部门的日常监督检查</w:t>
      </w:r>
      <w:r>
        <w:rPr>
          <w:rFonts w:hint="eastAsia" w:eastAsia="仿宋_GB2312" w:cs="Times New Roman"/>
          <w:color w:val="auto"/>
          <w:sz w:val="32"/>
          <w:szCs w:val="32"/>
          <w:lang w:eastAsia="zh-CN"/>
        </w:rPr>
        <w:t>。</w:t>
      </w:r>
      <w:r>
        <w:rPr>
          <w:rFonts w:ascii="Times New Roman" w:hAnsi="Times New Roman" w:eastAsia="仿宋_GB2312" w:cs="Times New Roman"/>
          <w:color w:val="2F5597"/>
          <w:sz w:val="32"/>
          <w:szCs w:val="32"/>
        </w:rPr>
        <w:t xml:space="preserve">                    </w:t>
      </w:r>
      <w:r>
        <w:rPr>
          <w:rFonts w:ascii="Times New Roman" w:hAnsi="Times New Roman" w:eastAsia="仿宋_GB2312" w:cs="Times New Roman"/>
          <w:sz w:val="32"/>
          <w:szCs w:val="32"/>
        </w:rPr>
        <w:t xml:space="preserve">          </w:t>
      </w:r>
    </w:p>
    <w:p w14:paraId="1345FBC8">
      <w:pPr>
        <w:pStyle w:val="2"/>
        <w:keepNext w:val="0"/>
        <w:keepLines w:val="0"/>
        <w:pageBreakBefore w:val="0"/>
        <w:widowControl/>
        <w:suppressLineNumbers w:val="0"/>
        <w:suppressAutoHyphens w:val="0"/>
        <w:kinsoku/>
        <w:wordWrap/>
        <w:overflowPunct/>
        <w:topLinePunct w:val="0"/>
        <w:autoSpaceDE/>
        <w:autoSpaceDN/>
        <w:bidi w:val="0"/>
        <w:adjustRightInd/>
        <w:snapToGrid/>
        <w:spacing w:line="560" w:lineRule="exact"/>
        <w:ind w:left="0" w:firstLine="0"/>
        <w:textAlignment w:val="auto"/>
      </w:pPr>
    </w:p>
    <w:p w14:paraId="28056AAA">
      <w:pPr>
        <w:keepNext w:val="0"/>
        <w:keepLines w:val="0"/>
        <w:pageBreakBefore w:val="0"/>
        <w:widowControl w:val="0"/>
        <w:suppressLineNumbers w:val="0"/>
        <w:suppressAutoHyphens w:val="0"/>
        <w:kinsoku/>
        <w:wordWrap/>
        <w:overflowPunct/>
        <w:topLinePunct w:val="0"/>
        <w:autoSpaceDE/>
        <w:autoSpaceDN/>
        <w:bidi w:val="0"/>
        <w:adjustRightInd/>
        <w:snapToGrid/>
        <w:spacing w:line="560" w:lineRule="exact"/>
        <w:textAlignment w:val="auto"/>
      </w:pPr>
    </w:p>
    <w:p w14:paraId="3729E69E">
      <w:pPr>
        <w:keepNext w:val="0"/>
        <w:keepLines w:val="0"/>
        <w:pageBreakBefore w:val="0"/>
        <w:kinsoku/>
        <w:wordWrap/>
        <w:overflowPunct/>
        <w:topLinePunct w:val="0"/>
        <w:autoSpaceDE/>
        <w:autoSpaceDN/>
        <w:bidi w:val="0"/>
        <w:adjustRightInd/>
        <w:snapToGrid/>
        <w:spacing w:line="560" w:lineRule="exact"/>
        <w:jc w:val="right"/>
        <w:textAlignment w:val="auto"/>
        <w:rPr>
          <w:rFonts w:ascii="Times New Roman" w:hAnsi="Times New Roman" w:eastAsia="仿宋_GB2312" w:cs="Times New Roman"/>
          <w:sz w:val="32"/>
          <w:szCs w:val="32"/>
        </w:rPr>
      </w:pPr>
    </w:p>
    <w:p w14:paraId="2785C903">
      <w:pPr>
        <w:pStyle w:val="2"/>
        <w:keepNext w:val="0"/>
        <w:keepLines w:val="0"/>
        <w:pageBreakBefore w:val="0"/>
        <w:widowControl/>
        <w:suppressLineNumbers w:val="0"/>
        <w:suppressAutoHyphens w:val="0"/>
        <w:kinsoku/>
        <w:wordWrap/>
        <w:overflowPunct/>
        <w:topLinePunct w:val="0"/>
        <w:autoSpaceDE/>
        <w:autoSpaceDN/>
        <w:bidi w:val="0"/>
        <w:adjustRightInd/>
        <w:snapToGrid/>
        <w:spacing w:line="560" w:lineRule="exact"/>
        <w:ind w:left="0" w:leftChars="0" w:firstLine="0" w:firstLineChars="0"/>
        <w:jc w:val="left"/>
        <w:textAlignment w:val="auto"/>
      </w:pPr>
    </w:p>
    <w:p w14:paraId="5329FBF1">
      <w:pPr>
        <w:keepNext w:val="0"/>
        <w:keepLines w:val="0"/>
        <w:pageBreakBefore w:val="0"/>
        <w:kinsoku/>
        <w:wordWrap/>
        <w:overflowPunct/>
        <w:topLinePunct w:val="0"/>
        <w:autoSpaceDE/>
        <w:autoSpaceDN/>
        <w:bidi w:val="0"/>
        <w:adjustRightInd/>
        <w:snapToGrid/>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鸡西市生态环境局</w:t>
      </w:r>
    </w:p>
    <w:p w14:paraId="0C7019D3">
      <w:pPr>
        <w:keepNext w:val="0"/>
        <w:keepLines w:val="0"/>
        <w:pageBreakBefore w:val="0"/>
        <w:kinsoku/>
        <w:wordWrap/>
        <w:overflowPunct/>
        <w:topLinePunct w:val="0"/>
        <w:autoSpaceDE/>
        <w:autoSpaceDN/>
        <w:bidi w:val="0"/>
        <w:adjustRightInd/>
        <w:snapToGrid/>
        <w:spacing w:line="560" w:lineRule="exact"/>
        <w:jc w:val="right"/>
        <w:textAlignment w:val="auto"/>
        <w:rPr>
          <w:rFonts w:eastAsia="仿宋_GB2312"/>
          <w:sz w:val="32"/>
          <w:szCs w:val="32"/>
        </w:rPr>
      </w:pPr>
      <w:r>
        <w:rPr>
          <w:rFonts w:ascii="Times New Roman" w:hAnsi="Times New Roman" w:eastAsia="仿宋_GB2312" w:cs="Times New Roman"/>
          <w:sz w:val="32"/>
          <w:szCs w:val="32"/>
        </w:rPr>
        <w:t xml:space="preserve">                                202</w:t>
      </w:r>
      <w:r>
        <w:rPr>
          <w:rFonts w:hint="eastAsia"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ascii="Times New Roman" w:hAnsi="Times New Roman" w:eastAsia="仿宋_GB2312" w:cs="Times New Roman"/>
          <w:sz w:val="32"/>
          <w:szCs w:val="32"/>
        </w:rPr>
        <w:t>日</w:t>
      </w:r>
    </w:p>
    <w:p w14:paraId="42FE98D9">
      <w:pPr>
        <w:pStyle w:val="2"/>
        <w:keepNext w:val="0"/>
        <w:keepLines w:val="0"/>
        <w:pageBreakBefore w:val="0"/>
        <w:widowControl/>
        <w:suppressLineNumbers w:val="0"/>
        <w:suppressAutoHyphens w:val="0"/>
        <w:kinsoku/>
        <w:wordWrap/>
        <w:overflowPunct/>
        <w:topLinePunct w:val="0"/>
        <w:autoSpaceDE/>
        <w:autoSpaceDN/>
        <w:bidi w:val="0"/>
        <w:adjustRightInd/>
        <w:snapToGrid/>
        <w:spacing w:line="560" w:lineRule="exact"/>
        <w:ind w:left="0" w:firstLine="0"/>
        <w:textAlignment w:val="auto"/>
      </w:pPr>
    </w:p>
    <w:p w14:paraId="6EEC60E6">
      <w:pPr>
        <w:pStyle w:val="2"/>
        <w:keepNext w:val="0"/>
        <w:keepLines w:val="0"/>
        <w:pageBreakBefore w:val="0"/>
        <w:widowControl/>
        <w:suppressLineNumbers w:val="0"/>
        <w:suppressAutoHyphens w:val="0"/>
        <w:kinsoku/>
        <w:wordWrap/>
        <w:overflowPunct/>
        <w:topLinePunct w:val="0"/>
        <w:autoSpaceDE/>
        <w:autoSpaceDN/>
        <w:bidi w:val="0"/>
        <w:adjustRightInd/>
        <w:snapToGrid/>
        <w:spacing w:line="560" w:lineRule="exact"/>
        <w:ind w:left="0" w:leftChars="0" w:firstLine="0" w:firstLineChars="0"/>
        <w:textAlignment w:val="auto"/>
      </w:pPr>
    </w:p>
    <w:p w14:paraId="5FBA9E51">
      <w:pPr>
        <w:keepNext w:val="0"/>
        <w:keepLines w:val="0"/>
        <w:pageBreakBefore w:val="0"/>
        <w:widowControl w:val="0"/>
        <w:suppressLineNumbers w:val="0"/>
        <w:suppressAutoHyphens w:val="0"/>
        <w:kinsoku/>
        <w:wordWrap/>
        <w:overflowPunct/>
        <w:topLinePunct w:val="0"/>
        <w:autoSpaceDE/>
        <w:autoSpaceDN/>
        <w:bidi w:val="0"/>
        <w:adjustRightInd/>
        <w:snapToGrid/>
        <w:spacing w:line="560" w:lineRule="exact"/>
        <w:textAlignment w:val="auto"/>
      </w:pPr>
    </w:p>
    <w:p w14:paraId="7BB14F26">
      <w:pPr>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抄 送：鸡西市生</w:t>
      </w:r>
      <w:r>
        <w:rPr>
          <w:rFonts w:ascii="Times New Roman" w:hAnsi="Times New Roman" w:eastAsia="仿宋_GB2312" w:cs="Times New Roman"/>
          <w:kern w:val="0"/>
          <w:sz w:val="32"/>
          <w:szCs w:val="32"/>
        </w:rPr>
        <w:t>态环境保护综合行政执法局</w:t>
      </w:r>
      <w:r>
        <w:rPr>
          <w:rFonts w:hint="eastAsia" w:eastAsia="仿宋_GB2312" w:cs="Times New Roman"/>
          <w:kern w:val="0"/>
          <w:sz w:val="32"/>
          <w:szCs w:val="32"/>
          <w:lang w:val="en-US" w:eastAsia="zh-CN"/>
        </w:rPr>
        <w:t xml:space="preserve">  </w:t>
      </w:r>
      <w:r>
        <w:rPr>
          <w:rFonts w:ascii="Times New Roman" w:hAnsi="Times New Roman" w:eastAsia="仿宋_GB2312" w:cs="Times New Roman"/>
          <w:sz w:val="32"/>
          <w:szCs w:val="32"/>
        </w:rPr>
        <w:t>鸡西</w:t>
      </w:r>
      <w:r>
        <w:rPr>
          <w:rFonts w:hint="eastAsia" w:eastAsia="仿宋_GB2312" w:cs="Times New Roman"/>
          <w:sz w:val="32"/>
          <w:szCs w:val="32"/>
          <w:lang w:val="en-US" w:eastAsia="zh-CN"/>
        </w:rPr>
        <w:t>市城子河</w:t>
      </w:r>
      <w:r>
        <w:rPr>
          <w:rFonts w:ascii="Times New Roman" w:hAnsi="Times New Roman" w:eastAsia="仿宋_GB2312" w:cs="Times New Roman"/>
          <w:sz w:val="32"/>
          <w:szCs w:val="32"/>
        </w:rPr>
        <w:t>生态环境局</w:t>
      </w:r>
      <w:bookmarkStart w:id="0" w:name="_GoBack"/>
      <w:bookmarkEnd w:id="0"/>
    </w:p>
    <w:p w14:paraId="5AD9333A">
      <w:pPr>
        <w:keepNext w:val="0"/>
        <w:keepLines w:val="0"/>
        <w:pageBreakBefore w:val="0"/>
        <w:pBdr>
          <w:bottom w:val="single" w:color="auto" w:sz="4" w:space="0"/>
        </w:pBdr>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鸡西市生态环境局办公室</w:t>
      </w:r>
      <w:r>
        <w:rPr>
          <w:rFonts w:hint="eastAsia" w:eastAsia="仿宋_GB2312" w:cs="Times New Roman"/>
          <w:sz w:val="32"/>
          <w:szCs w:val="32"/>
          <w:lang w:eastAsia="zh-CN"/>
        </w:rPr>
        <w:t>（法规科）</w:t>
      </w:r>
      <w:r>
        <w:rPr>
          <w:rFonts w:ascii="Times New Roman" w:hAnsi="Times New Roman" w:eastAsia="仿宋_GB2312" w:cs="Times New Roman"/>
          <w:sz w:val="32"/>
          <w:szCs w:val="32"/>
        </w:rPr>
        <w:t xml:space="preserve"> 202</w:t>
      </w:r>
      <w:r>
        <w:rPr>
          <w:rFonts w:hint="eastAsia"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eastAsia="仿宋_GB2312" w:cs="Times New Roman"/>
          <w:sz w:val="32"/>
          <w:szCs w:val="32"/>
          <w:lang w:val="en-US" w:eastAsia="zh-CN"/>
        </w:rPr>
        <w:t>1</w:t>
      </w:r>
      <w:r>
        <w:rPr>
          <w:rFonts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27</w:t>
      </w:r>
      <w:r>
        <w:rPr>
          <w:rFonts w:ascii="Times New Roman" w:hAnsi="Times New Roman" w:eastAsia="仿宋_GB2312" w:cs="Times New Roman"/>
          <w:kern w:val="0"/>
          <w:sz w:val="32"/>
          <w:szCs w:val="32"/>
        </w:rPr>
        <w:t>日</w:t>
      </w:r>
      <w:r>
        <w:rPr>
          <w:rFonts w:ascii="Times New Roman" w:hAnsi="Times New Roman" w:eastAsia="仿宋_GB2312" w:cs="Times New Roman"/>
          <w:sz w:val="32"/>
          <w:szCs w:val="32"/>
        </w:rPr>
        <w:t>印发</w:t>
      </w:r>
    </w:p>
    <w:p w14:paraId="77A0D1FE">
      <w:pPr>
        <w:keepNext w:val="0"/>
        <w:keepLines w:val="0"/>
        <w:pageBreakBefore w:val="0"/>
        <w:kinsoku/>
        <w:wordWrap/>
        <w:overflowPunct/>
        <w:topLinePunct w:val="0"/>
        <w:autoSpaceDE/>
        <w:autoSpaceDN/>
        <w:bidi w:val="0"/>
        <w:adjustRightInd/>
        <w:snapToGrid/>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共印8份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Music"/>
    <w:panose1 w:val="020B0602030504020204"/>
    <w:charset w:val="00"/>
    <w:family w:val="auto"/>
    <w:pitch w:val="default"/>
    <w:sig w:usb0="00000000" w:usb1="00000000" w:usb2="00000000" w:usb3="00000000" w:csb0="20000001" w:csb1="00000000"/>
  </w:font>
  <w:font w:name="Noto Music">
    <w:panose1 w:val="020B0502040504020204"/>
    <w:charset w:val="00"/>
    <w:family w:val="auto"/>
    <w:pitch w:val="default"/>
    <w:sig w:usb0="00000003" w:usb1="02006000" w:usb2="01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42F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1445"/>
                      </a:xfrm>
                      <a:prstGeom prst="rect">
                        <a:avLst/>
                      </a:prstGeom>
                      <a:noFill/>
                      <a:ln w="9525" cap="flat" cmpd="sng">
                        <a:noFill/>
                        <a:prstDash val="solid"/>
                        <a:round/>
                      </a:ln>
                    </wps:spPr>
                    <wps:txbx>
                      <w:txbxContent>
                        <w:p w14:paraId="3D706ACF">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N4iawUCAgAA8wMAAA4AAABkcnMvZTJvRG9jLnhtbK1TS44TMRDdI3EH&#10;y3vSnTAZoJXOCBENQkIw0sABHLc7bck/VTnpDgeAG7Biw55z5RyU3fmMhs0s2HSX7fKreq+eFzeD&#10;NWynALV3NZ9OSs6Uk77RblPzr19uX7zmDKNwjTDeqZrvFfKb5fNniz5UauY7bxoFjEAcVn2oeRdj&#10;qIoCZaeswIkPytFh68GKSEvYFA2IntCtKWZleV30HpoAXipE2l2Nh/yICE8B9G2rpVp5ubXKxREV&#10;lBGRKGGnA/Jl7rZtlYyf2xZVZKbmxDTmLxWheJ2+xXIhqg2I0Gl5bEE8pYVHnKzQjoqeoVYiCrYF&#10;/Q+U1RI8+jZOpLfFSCQrQiym5SNt7jsRVOZCUmM4i47/D1Z+2t0B0w05gTMnLA388PPH4defw+/v&#10;bJrk6QNWlHUf7uC4QgoT16EFm/7Egg1Z0v1ZUjVEJmnz1TXNnDNJJ9OX06ureYIsLncDYHyvvGUp&#10;qDnQwLKOYvcR45h6SkmlnL/VxtC+qIxjfc3fzGdzghdkxJYMQKENRAbdJsM8yE8wK4Ed2wnyAnqj&#10;m3H64LeuGUsZR80lwiPFFMVhPdBhCte+2ZNY9Hao087DN856ck7NHT0UzswHR4NJJjsFcArWp0A4&#10;SRdrTo2O4bs4mnEbQG86wi1z3xjebiNxzRJcah+7Iy9kEY++TWZ7uM5Z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tpqi0AAAAAMBAAAPAAAAAAAAAAEAIAAAACIAAABkcnMvZG93bnJldi54&#10;bWxQSwECFAAUAAAACACHTuJA3iJrBQICAADzAwAADgAAAAAAAAABACAAAAAfAQAAZHJzL2Uyb0Rv&#10;Yy54bWxQSwUGAAAAAAYABgBZAQAAkwUAAAAA&#10;">
              <v:fill on="f" focussize="0,0"/>
              <v:stroke on="f" joinstyle="round"/>
              <v:imagedata o:title=""/>
              <o:lock v:ext="edit" aspectratio="f"/>
              <v:textbox inset="0mm,0mm,0mm,0mm" style="mso-fit-shape-to-text:t;">
                <w:txbxContent>
                  <w:p w14:paraId="3D706ACF">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FE678"/>
    <w:multiLevelType w:val="singleLevel"/>
    <w:tmpl w:val="F3BFE6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TZkYTY0YzY2NWYyNzQ0NTEzMmJlMWQ5ZTU0MzcwMTEifQ=="/>
  </w:docVars>
  <w:rsids>
    <w:rsidRoot w:val="00000000"/>
    <w:rsid w:val="7DF148C5"/>
    <w:rsid w:val="7DFC226A"/>
    <w:rsid w:val="7F460755"/>
    <w:rsid w:val="9B173944"/>
    <w:rsid w:val="AB0FCDD8"/>
    <w:rsid w:val="F9F3F0D6"/>
    <w:rsid w:val="FECBB3C0"/>
    <w:rsid w:val="FF7E4133"/>
    <w:rsid w:val="FFB1A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7"/>
    <w:qFormat/>
    <w:uiPriority w:val="0"/>
    <w:pPr>
      <w:ind w:firstLine="420"/>
    </w:pPr>
  </w:style>
  <w:style w:type="character" w:customStyle="1" w:styleId="14">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5">
    <w:name w:val="heading 2 Char"/>
    <w:basedOn w:val="13"/>
    <w:link w:val="4"/>
    <w:qFormat/>
    <w:uiPriority w:val="0"/>
    <w:rPr>
      <w:rFonts w:ascii="Times New Roman" w:hAnsi="Times New Roman" w:eastAsia="黑体" w:cs="Times New Roman"/>
      <w:b/>
      <w:bCs/>
      <w:kern w:val="2"/>
      <w:sz w:val="32"/>
      <w:szCs w:val="32"/>
      <w:lang w:val="en-US" w:eastAsia="zh-CN" w:bidi="ar-SA"/>
    </w:rPr>
  </w:style>
  <w:style w:type="character" w:customStyle="1" w:styleId="16">
    <w:name w:val="heading 3 Char"/>
    <w:basedOn w:val="13"/>
    <w:link w:val="5"/>
    <w:qFormat/>
    <w:uiPriority w:val="0"/>
    <w:rPr>
      <w:rFonts w:ascii="Times New Roman" w:hAnsi="Times New Roman" w:eastAsia="宋体" w:cs="Times New Roman"/>
      <w:b/>
      <w:bCs/>
      <w:kern w:val="2"/>
      <w:sz w:val="32"/>
      <w:szCs w:val="32"/>
      <w:lang w:val="en-US" w:eastAsia="zh-CN" w:bidi="ar-SA"/>
    </w:rPr>
  </w:style>
  <w:style w:type="paragraph" w:customStyle="1" w:styleId="17">
    <w:name w:val="报告表  段"/>
    <w:basedOn w:val="1"/>
    <w:qFormat/>
    <w:uiPriority w:val="0"/>
    <w:pPr>
      <w:adjustRightInd w:val="0"/>
      <w:spacing w:line="360" w:lineRule="auto"/>
      <w:ind w:firstLine="505"/>
    </w:pPr>
    <w:rPr>
      <w:rFonts w:ascii="Calibri" w:hAnsi="Calibri" w:cs="宋体"/>
    </w:rPr>
  </w:style>
  <w:style w:type="paragraph" w:styleId="18">
    <w:name w:val="List Paragraph"/>
    <w:basedOn w:val="1"/>
    <w:qFormat/>
    <w:uiPriority w:val="0"/>
    <w:pPr>
      <w:ind w:firstLine="200" w:firstLineChars="200"/>
    </w:pPr>
  </w:style>
  <w:style w:type="paragraph" w:customStyle="1" w:styleId="19">
    <w:name w:val="表格(新)"/>
    <w:basedOn w:val="1"/>
    <w:qFormat/>
    <w:uiPriority w:val="0"/>
    <w:pPr>
      <w:adjustRightInd w:val="0"/>
      <w:snapToGrid w:val="0"/>
      <w:spacing w:line="240" w:lineRule="auto"/>
      <w:ind w:firstLine="0"/>
      <w:jc w:val="center"/>
    </w:pPr>
    <w:rPr>
      <w:rFonts w:hAnsi="宋体"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D5603-4914-4C7A-AB44-3528050B5644}">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0</Words>
  <Characters>1519</Characters>
  <Lines>0</Lines>
  <Paragraphs>42</Paragraphs>
  <TotalTime>37</TotalTime>
  <ScaleCrop>false</ScaleCrop>
  <LinksUpToDate>false</LinksUpToDate>
  <CharactersWithSpaces>2026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2024-08-11T11:25:00Z</dcterms:created>
  <dc:creator>01</dc:creator>
  <cp:lastModifiedBy>greatwall</cp:lastModifiedBy>
  <cp:lastPrinted>2026-01-27T07:59:00Z</cp:lastPrinted>
  <dcterms:modified xsi:type="dcterms:W3CDTF">2026-01-28T10:25:26Z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B1F37FC0E3BE4E7BE0D971692C08464E_43</vt:lpwstr>
  </property>
</Properties>
</file>